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EE5" w:rsidRDefault="00D51B4A" w:rsidP="00D51B4A">
      <w:pPr>
        <w:pStyle w:val="Tytu"/>
      </w:pPr>
      <w:r>
        <w:t>Informacja z realizacji umowy dotyczącej programu Czyste Powietrze</w:t>
      </w:r>
    </w:p>
    <w:p w:rsidR="00D51B4A" w:rsidRDefault="00D51B4A"/>
    <w:p w:rsidR="00457873" w:rsidRDefault="00457873" w:rsidP="002E44C0">
      <w:pPr>
        <w:jc w:val="both"/>
      </w:pPr>
      <w:r>
        <w:t>W punkcie konsultacyjnym programu Czyste Powietrze w Parku odbywa się bieżąca obsługa klientów chcących wykorzystać rządową dotację na termomodernizację swojego domu jednorodzinnego na terenie Suwałk. Punkt jest otwarty od wtorku do czwartku (w środy do 18:00) i prac</w:t>
      </w:r>
      <w:r w:rsidR="00777E2B">
        <w:t>ują w nim na zmianę dwie osoby</w:t>
      </w:r>
      <w:r>
        <w:t xml:space="preserve">. </w:t>
      </w:r>
    </w:p>
    <w:p w:rsidR="00D51B4A" w:rsidRDefault="00D51B4A" w:rsidP="002E44C0">
      <w:pPr>
        <w:pStyle w:val="Nagwek2"/>
        <w:jc w:val="both"/>
      </w:pPr>
      <w:r>
        <w:t xml:space="preserve">Liczba przeprowadzonych konsultacji, obsłużonych klientów i złożonych wniosków </w:t>
      </w:r>
      <w:r w:rsidR="002E44C0">
        <w:br/>
      </w:r>
      <w:r>
        <w:t>o dofinansowanie w punkcie konsultacyjnym Parku</w:t>
      </w:r>
    </w:p>
    <w:p w:rsidR="00457873" w:rsidRPr="00457873" w:rsidRDefault="00457873" w:rsidP="00457873"/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300"/>
        <w:gridCol w:w="1060"/>
        <w:gridCol w:w="1180"/>
        <w:gridCol w:w="1180"/>
        <w:gridCol w:w="1180"/>
        <w:gridCol w:w="2060"/>
      </w:tblGrid>
      <w:tr w:rsidR="00D51B4A" w:rsidRPr="00D51B4A" w:rsidTr="00D51B4A">
        <w:trPr>
          <w:trHeight w:val="876"/>
        </w:trPr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5B9BD5" w:fill="5B9BD5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Kwartał</w:t>
            </w:r>
          </w:p>
        </w:tc>
        <w:tc>
          <w:tcPr>
            <w:tcW w:w="13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5B9BD5" w:fill="5B9BD5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Konsultacje w PNT</w:t>
            </w:r>
          </w:p>
        </w:tc>
        <w:tc>
          <w:tcPr>
            <w:tcW w:w="10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5B9BD5" w:fill="5B9BD5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Liczba nowych klientów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9BC2E6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D51B4A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Złożone na I próg (30%)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9BC2E6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D51B4A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Złożone na II próg (60%)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9BC2E6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D51B4A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Złożone na III próg (90%)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9BC2E6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D51B4A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Liczba złożonych wniosków w sumie</w:t>
            </w:r>
          </w:p>
        </w:tc>
      </w:tr>
      <w:tr w:rsidR="00D51B4A" w:rsidRPr="00D51B4A" w:rsidTr="00D51B4A">
        <w:trPr>
          <w:trHeight w:val="300"/>
        </w:trPr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2021 Q2</w:t>
            </w:r>
          </w:p>
        </w:tc>
        <w:tc>
          <w:tcPr>
            <w:tcW w:w="13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10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- 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D51B4A" w:rsidRPr="00D51B4A" w:rsidTr="00D51B4A">
        <w:trPr>
          <w:trHeight w:val="300"/>
        </w:trPr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2021 Q3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- 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38</w:t>
            </w:r>
          </w:p>
        </w:tc>
      </w:tr>
      <w:tr w:rsidR="00D51B4A" w:rsidRPr="00D51B4A" w:rsidTr="00D51B4A">
        <w:trPr>
          <w:trHeight w:val="300"/>
        </w:trPr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2021 Q4</w:t>
            </w:r>
          </w:p>
        </w:tc>
        <w:tc>
          <w:tcPr>
            <w:tcW w:w="13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114</w:t>
            </w:r>
          </w:p>
        </w:tc>
        <w:tc>
          <w:tcPr>
            <w:tcW w:w="10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- 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DDEBF7" w:fill="DDEBF7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35</w:t>
            </w:r>
          </w:p>
        </w:tc>
      </w:tr>
      <w:tr w:rsidR="00D51B4A" w:rsidRPr="00D51B4A" w:rsidTr="00D51B4A">
        <w:trPr>
          <w:trHeight w:val="300"/>
        </w:trPr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4" w:space="0" w:color="9BC2E6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2022 Q1</w:t>
            </w:r>
          </w:p>
        </w:tc>
        <w:tc>
          <w:tcPr>
            <w:tcW w:w="1300" w:type="dxa"/>
            <w:tcBorders>
              <w:top w:val="single" w:sz="8" w:space="0" w:color="CCCCCC"/>
              <w:left w:val="single" w:sz="8" w:space="0" w:color="CCCCCC"/>
              <w:bottom w:val="single" w:sz="4" w:space="0" w:color="9BC2E6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060" w:type="dxa"/>
            <w:tcBorders>
              <w:top w:val="single" w:sz="8" w:space="0" w:color="CCCCCC"/>
              <w:left w:val="single" w:sz="8" w:space="0" w:color="CCCCCC"/>
              <w:bottom w:val="single" w:sz="4" w:space="0" w:color="9BC2E6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4" w:space="0" w:color="9BC2E6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4" w:space="0" w:color="9BC2E6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4" w:space="0" w:color="9BC2E6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4" w:space="0" w:color="9BC2E6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15</w:t>
            </w:r>
          </w:p>
        </w:tc>
      </w:tr>
      <w:tr w:rsidR="00D51B4A" w:rsidRPr="00D51B4A" w:rsidTr="00D51B4A">
        <w:trPr>
          <w:trHeight w:val="288"/>
        </w:trPr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13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312</w:t>
            </w:r>
          </w:p>
        </w:tc>
        <w:tc>
          <w:tcPr>
            <w:tcW w:w="10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118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06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D51B4A" w:rsidRPr="00D51B4A" w:rsidRDefault="00D51B4A" w:rsidP="00D5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51B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92</w:t>
            </w:r>
          </w:p>
        </w:tc>
      </w:tr>
    </w:tbl>
    <w:p w:rsidR="00D51B4A" w:rsidRDefault="00D51B4A"/>
    <w:p w:rsidR="000B7542" w:rsidRDefault="000B7542" w:rsidP="002E44C0">
      <w:pPr>
        <w:jc w:val="both"/>
      </w:pPr>
      <w:r>
        <w:t>W ostatnich miesiącach o</w:t>
      </w:r>
      <w:r w:rsidR="00457873">
        <w:t>bserwuje się wzmożone zainteresowanie najwyższym progiem dofinansowania wprowadzonym w styczniu 2022 r.</w:t>
      </w:r>
      <w:r>
        <w:t xml:space="preserve"> Z tego też powodu w grudniu przyjęto mniej wniosku niż pokazywał rosnący trend. Miały na to wpływ również rosnące ceny gazu i niepewność związana z możliwościami przyłączenia. </w:t>
      </w:r>
    </w:p>
    <w:p w:rsidR="00147241" w:rsidRDefault="00147241" w:rsidP="002E44C0">
      <w:pPr>
        <w:pStyle w:val="Nagwek2"/>
        <w:jc w:val="both"/>
      </w:pPr>
      <w:r>
        <w:t>Kwoty dofinansowania z programu Czyste Powietrze w złożonych wnioskach wg progu dochodowego</w:t>
      </w:r>
    </w:p>
    <w:p w:rsidR="000B7542" w:rsidRPr="000B7542" w:rsidRDefault="000B7542" w:rsidP="000B7542"/>
    <w:tbl>
      <w:tblPr>
        <w:tblW w:w="9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389"/>
        <w:gridCol w:w="1408"/>
        <w:gridCol w:w="1441"/>
        <w:gridCol w:w="1701"/>
        <w:gridCol w:w="1285"/>
        <w:gridCol w:w="1718"/>
      </w:tblGrid>
      <w:tr w:rsidR="00147241" w:rsidRPr="00147241" w:rsidTr="00147241">
        <w:trPr>
          <w:trHeight w:val="876"/>
        </w:trPr>
        <w:tc>
          <w:tcPr>
            <w:tcW w:w="988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single" w:sz="4" w:space="0" w:color="A9D08E"/>
            </w:tcBorders>
            <w:shd w:val="clear" w:color="70AD47" w:fill="70AD47"/>
            <w:noWrap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147241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Kwartał</w:t>
            </w:r>
          </w:p>
        </w:tc>
        <w:tc>
          <w:tcPr>
            <w:tcW w:w="138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70AD47" w:fill="70AD47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Kwota </w:t>
            </w:r>
            <w:proofErr w:type="spellStart"/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dof</w:t>
            </w:r>
            <w:proofErr w:type="spellEnd"/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. z wniosków I progu (30%)</w:t>
            </w: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70AD47" w:fill="70AD47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Kwota </w:t>
            </w:r>
            <w:proofErr w:type="spellStart"/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dof</w:t>
            </w:r>
            <w:proofErr w:type="spellEnd"/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. z wniosków II progu (60%)</w:t>
            </w:r>
          </w:p>
        </w:tc>
        <w:tc>
          <w:tcPr>
            <w:tcW w:w="144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70AD47" w:fill="70AD47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Kwota </w:t>
            </w:r>
            <w:proofErr w:type="spellStart"/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dof</w:t>
            </w:r>
            <w:proofErr w:type="spellEnd"/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. z wniosków III progu (90%)</w:t>
            </w:r>
          </w:p>
        </w:tc>
        <w:tc>
          <w:tcPr>
            <w:tcW w:w="170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70AD47" w:fill="70AD47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 xml:space="preserve">Kwota </w:t>
            </w:r>
            <w:proofErr w:type="spellStart"/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dof</w:t>
            </w:r>
            <w:proofErr w:type="spellEnd"/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. razem</w:t>
            </w:r>
          </w:p>
        </w:tc>
        <w:tc>
          <w:tcPr>
            <w:tcW w:w="12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70AD47" w:fill="70AD47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EAAAA" w:themeColor="background2" w:themeShade="BF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Kwota wycofanych</w:t>
            </w:r>
          </w:p>
        </w:tc>
        <w:tc>
          <w:tcPr>
            <w:tcW w:w="171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70AD47" w:fill="70AD47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pl-PL"/>
              </w:rPr>
              <w:t>Dofinansowanie rzeczywiste w umowach</w:t>
            </w:r>
          </w:p>
        </w:tc>
      </w:tr>
      <w:tr w:rsidR="00147241" w:rsidRPr="00147241" w:rsidTr="00147241">
        <w:trPr>
          <w:trHeight w:val="300"/>
        </w:trPr>
        <w:tc>
          <w:tcPr>
            <w:tcW w:w="988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47241">
              <w:rPr>
                <w:rFonts w:ascii="Calibri" w:eastAsia="Times New Roman" w:hAnsi="Calibri" w:cs="Calibri"/>
                <w:color w:val="000000"/>
                <w:lang w:eastAsia="pl-PL"/>
              </w:rPr>
              <w:t>2021 Q2</w:t>
            </w:r>
          </w:p>
        </w:tc>
        <w:tc>
          <w:tcPr>
            <w:tcW w:w="138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36 230,50 zł</w:t>
            </w: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32 000,00 zł</w:t>
            </w:r>
          </w:p>
        </w:tc>
        <w:tc>
          <w:tcPr>
            <w:tcW w:w="144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68 230,50 zł</w:t>
            </w:r>
          </w:p>
        </w:tc>
        <w:tc>
          <w:tcPr>
            <w:tcW w:w="12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68 230,50 zł</w:t>
            </w:r>
          </w:p>
        </w:tc>
      </w:tr>
      <w:tr w:rsidR="00147241" w:rsidRPr="00147241" w:rsidTr="00147241">
        <w:trPr>
          <w:trHeight w:val="300"/>
        </w:trPr>
        <w:tc>
          <w:tcPr>
            <w:tcW w:w="988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47241">
              <w:rPr>
                <w:rFonts w:ascii="Calibri" w:eastAsia="Times New Roman" w:hAnsi="Calibri" w:cs="Calibri"/>
                <w:color w:val="000000"/>
                <w:lang w:eastAsia="pl-PL"/>
              </w:rPr>
              <w:t>2021 Q3</w:t>
            </w:r>
          </w:p>
        </w:tc>
        <w:tc>
          <w:tcPr>
            <w:tcW w:w="138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356 466,00 zł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295 550,00 zł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652 016,00 zł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652 016,00 zł</w:t>
            </w:r>
          </w:p>
        </w:tc>
      </w:tr>
      <w:tr w:rsidR="00147241" w:rsidRPr="00147241" w:rsidTr="00147241">
        <w:trPr>
          <w:trHeight w:val="300"/>
        </w:trPr>
        <w:tc>
          <w:tcPr>
            <w:tcW w:w="988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47241">
              <w:rPr>
                <w:rFonts w:ascii="Calibri" w:eastAsia="Times New Roman" w:hAnsi="Calibri" w:cs="Calibri"/>
                <w:color w:val="000000"/>
                <w:lang w:eastAsia="pl-PL"/>
              </w:rPr>
              <w:t>2021 Q4</w:t>
            </w:r>
          </w:p>
        </w:tc>
        <w:tc>
          <w:tcPr>
            <w:tcW w:w="138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240 135,00 zł</w:t>
            </w: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351 288,00 zł</w:t>
            </w:r>
          </w:p>
        </w:tc>
        <w:tc>
          <w:tcPr>
            <w:tcW w:w="144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591 423,00 zł</w:t>
            </w:r>
          </w:p>
        </w:tc>
        <w:tc>
          <w:tcPr>
            <w:tcW w:w="1285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EAAAA" w:themeColor="background2" w:themeShade="BF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AEAAAA" w:themeColor="background2" w:themeShade="BF"/>
                <w:sz w:val="20"/>
                <w:szCs w:val="20"/>
                <w:lang w:eastAsia="pl-PL"/>
              </w:rPr>
              <w:t>77 600,00 zł</w:t>
            </w:r>
          </w:p>
        </w:tc>
        <w:tc>
          <w:tcPr>
            <w:tcW w:w="171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E2EFDA" w:fill="E2EFDA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513 823,00 zł</w:t>
            </w:r>
          </w:p>
        </w:tc>
      </w:tr>
      <w:tr w:rsidR="00147241" w:rsidRPr="00147241" w:rsidTr="00147241">
        <w:trPr>
          <w:trHeight w:val="300"/>
        </w:trPr>
        <w:tc>
          <w:tcPr>
            <w:tcW w:w="988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single" w:sz="4" w:space="0" w:color="A9D08E"/>
            </w:tcBorders>
            <w:shd w:val="clear" w:color="auto" w:fill="auto"/>
            <w:noWrap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47241">
              <w:rPr>
                <w:rFonts w:ascii="Calibri" w:eastAsia="Times New Roman" w:hAnsi="Calibri" w:cs="Calibri"/>
                <w:color w:val="000000"/>
                <w:lang w:eastAsia="pl-PL"/>
              </w:rPr>
              <w:t>2022 Q1</w:t>
            </w:r>
          </w:p>
        </w:tc>
        <w:tc>
          <w:tcPr>
            <w:tcW w:w="1389" w:type="dxa"/>
            <w:tcBorders>
              <w:top w:val="single" w:sz="8" w:space="0" w:color="CCCCCC"/>
              <w:left w:val="single" w:sz="8" w:space="0" w:color="CCCCCC"/>
              <w:bottom w:val="single" w:sz="4" w:space="0" w:color="A9D08E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68 051,00 zł</w:t>
            </w:r>
          </w:p>
        </w:tc>
        <w:tc>
          <w:tcPr>
            <w:tcW w:w="1408" w:type="dxa"/>
            <w:tcBorders>
              <w:top w:val="single" w:sz="8" w:space="0" w:color="CCCCCC"/>
              <w:left w:val="single" w:sz="8" w:space="0" w:color="CCCCCC"/>
              <w:bottom w:val="single" w:sz="4" w:space="0" w:color="A9D08E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35 660,00 zł</w:t>
            </w:r>
          </w:p>
        </w:tc>
        <w:tc>
          <w:tcPr>
            <w:tcW w:w="1441" w:type="dxa"/>
            <w:tcBorders>
              <w:top w:val="single" w:sz="8" w:space="0" w:color="CCCCCC"/>
              <w:left w:val="single" w:sz="8" w:space="0" w:color="CCCCCC"/>
              <w:bottom w:val="single" w:sz="4" w:space="0" w:color="A9D08E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306 000,00 zł</w:t>
            </w:r>
          </w:p>
        </w:tc>
        <w:tc>
          <w:tcPr>
            <w:tcW w:w="1701" w:type="dxa"/>
            <w:tcBorders>
              <w:top w:val="single" w:sz="8" w:space="0" w:color="CCCCCC"/>
              <w:left w:val="single" w:sz="8" w:space="0" w:color="CCCCCC"/>
              <w:bottom w:val="single" w:sz="4" w:space="0" w:color="A9D08E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409 711,00 zł</w:t>
            </w:r>
          </w:p>
        </w:tc>
        <w:tc>
          <w:tcPr>
            <w:tcW w:w="1285" w:type="dxa"/>
            <w:tcBorders>
              <w:top w:val="single" w:sz="8" w:space="0" w:color="CCCCCC"/>
              <w:left w:val="single" w:sz="8" w:space="0" w:color="CCCCCC"/>
              <w:bottom w:val="single" w:sz="4" w:space="0" w:color="A9D08E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8" w:type="dxa"/>
            <w:tcBorders>
              <w:top w:val="single" w:sz="8" w:space="0" w:color="CCCCCC"/>
              <w:left w:val="single" w:sz="8" w:space="0" w:color="CCCCCC"/>
              <w:bottom w:val="single" w:sz="4" w:space="0" w:color="A9D08E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409 711,00 zł</w:t>
            </w:r>
          </w:p>
        </w:tc>
      </w:tr>
      <w:tr w:rsidR="00147241" w:rsidRPr="00147241" w:rsidTr="00147241">
        <w:trPr>
          <w:trHeight w:val="288"/>
        </w:trPr>
        <w:tc>
          <w:tcPr>
            <w:tcW w:w="988" w:type="dxa"/>
            <w:tcBorders>
              <w:top w:val="single" w:sz="4" w:space="0" w:color="A9D08E"/>
              <w:left w:val="single" w:sz="4" w:space="0" w:color="A9D08E"/>
              <w:bottom w:val="single" w:sz="4" w:space="0" w:color="A9D08E"/>
              <w:right w:val="single" w:sz="4" w:space="0" w:color="A9D08E"/>
            </w:tcBorders>
            <w:shd w:val="clear" w:color="E2EFDA" w:fill="E2EFDA"/>
            <w:noWrap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47241">
              <w:rPr>
                <w:rFonts w:ascii="Calibri" w:eastAsia="Times New Roman" w:hAnsi="Calibri" w:cs="Calibri"/>
                <w:color w:val="000000"/>
                <w:lang w:eastAsia="pl-PL"/>
              </w:rPr>
              <w:t>Suma</w:t>
            </w:r>
          </w:p>
        </w:tc>
        <w:tc>
          <w:tcPr>
            <w:tcW w:w="138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700 882,50 zł</w:t>
            </w:r>
          </w:p>
        </w:tc>
        <w:tc>
          <w:tcPr>
            <w:tcW w:w="1408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714 498,00 zł</w:t>
            </w:r>
          </w:p>
        </w:tc>
        <w:tc>
          <w:tcPr>
            <w:tcW w:w="1441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306 000,00 zł</w:t>
            </w:r>
          </w:p>
        </w:tc>
        <w:tc>
          <w:tcPr>
            <w:tcW w:w="1701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1 721 380,50 zł</w:t>
            </w:r>
          </w:p>
        </w:tc>
        <w:tc>
          <w:tcPr>
            <w:tcW w:w="128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AEAAAA" w:themeColor="background2" w:themeShade="BF"/>
                <w:sz w:val="20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Cs/>
                <w:color w:val="AEAAAA" w:themeColor="background2" w:themeShade="BF"/>
                <w:sz w:val="20"/>
                <w:szCs w:val="20"/>
                <w:lang w:eastAsia="pl-PL"/>
              </w:rPr>
              <w:t>77 600,00 zł</w:t>
            </w:r>
          </w:p>
        </w:tc>
        <w:tc>
          <w:tcPr>
            <w:tcW w:w="1718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538135" w:themeFill="accent6" w:themeFillShade="BF"/>
            <w:vAlign w:val="bottom"/>
            <w:hideMark/>
          </w:tcPr>
          <w:p w:rsidR="00147241" w:rsidRPr="00147241" w:rsidRDefault="00147241" w:rsidP="0014724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 w:themeColor="background1"/>
                <w:szCs w:val="20"/>
                <w:lang w:eastAsia="pl-PL"/>
              </w:rPr>
            </w:pPr>
            <w:r w:rsidRPr="00147241">
              <w:rPr>
                <w:rFonts w:ascii="Arial" w:eastAsia="Times New Roman" w:hAnsi="Arial" w:cs="Arial"/>
                <w:b/>
                <w:bCs/>
                <w:color w:val="FFFFFF" w:themeColor="background1"/>
                <w:szCs w:val="20"/>
                <w:lang w:eastAsia="pl-PL"/>
              </w:rPr>
              <w:t>1 643 780,50 zł</w:t>
            </w:r>
          </w:p>
        </w:tc>
      </w:tr>
    </w:tbl>
    <w:p w:rsidR="00D51B4A" w:rsidRDefault="00D51B4A"/>
    <w:p w:rsidR="000B7542" w:rsidRDefault="000B7542" w:rsidP="002E44C0">
      <w:pPr>
        <w:jc w:val="both"/>
      </w:pPr>
      <w:r>
        <w:t>Aplikowanie przez mieszkańców o dotację w III progu dochodowym sprawiło, że maksymalne sumy dotacji sięgają 60 000 zł i w znacznym stopniu odciążają budżet prywatnych inwestorów. Szacuje się, że pierwszy kwartał 2022 r. zakończy się wynikiem 800 tys. zł przyznanych dotacji.</w:t>
      </w:r>
    </w:p>
    <w:p w:rsidR="000B7542" w:rsidRDefault="000B7542"/>
    <w:p w:rsidR="00452F29" w:rsidRDefault="00452F29" w:rsidP="00452F29">
      <w:pPr>
        <w:pStyle w:val="Nagwek2"/>
      </w:pPr>
      <w:r>
        <w:lastRenderedPageBreak/>
        <w:t>Ak</w:t>
      </w:r>
      <w:bookmarkStart w:id="0" w:name="_GoBack"/>
      <w:bookmarkEnd w:id="0"/>
      <w:r>
        <w:t>cje promocyjne</w:t>
      </w:r>
    </w:p>
    <w:p w:rsidR="00452F29" w:rsidRDefault="00452F29"/>
    <w:p w:rsidR="00452F29" w:rsidRDefault="008424BD" w:rsidP="002E44C0">
      <w:pPr>
        <w:jc w:val="both"/>
        <w:rPr>
          <w:rFonts w:ascii="Calibri" w:eastAsia="Calibri" w:hAnsi="Calibri"/>
        </w:rPr>
      </w:pPr>
      <w:r>
        <w:rPr>
          <w:rFonts w:ascii="Calibri" w:eastAsia="Calibri" w:hAnsi="Calibri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88D1E05" wp14:editId="08C58D72">
            <wp:simplePos x="0" y="0"/>
            <wp:positionH relativeFrom="margin">
              <wp:align>left</wp:align>
            </wp:positionH>
            <wp:positionV relativeFrom="paragraph">
              <wp:posOffset>922655</wp:posOffset>
            </wp:positionV>
            <wp:extent cx="3194050" cy="3194050"/>
            <wp:effectExtent l="0" t="0" r="6350" b="635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2" name="Obraz 2" descr="C:\Users\wojciech.pajak\AppData\Local\Microsoft\Windows\INetCache\Content.Word\Czyste Powuietrze 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jciech.pajak\AppData\Local\Microsoft\Windows\INetCache\Content.Word\Czyste Powuietrze 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4BD">
        <w:rPr>
          <w:rFonts w:ascii="Calibri" w:eastAsia="Calibri" w:hAnsi="Calibri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38932804" wp14:editId="0072F531">
            <wp:simplePos x="0" y="0"/>
            <wp:positionH relativeFrom="column">
              <wp:posOffset>3335655</wp:posOffset>
            </wp:positionH>
            <wp:positionV relativeFrom="paragraph">
              <wp:posOffset>935355</wp:posOffset>
            </wp:positionV>
            <wp:extent cx="231013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374" y="21474"/>
                <wp:lineTo x="2137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F29">
        <w:rPr>
          <w:rFonts w:ascii="Calibri" w:eastAsia="Calibri" w:hAnsi="Calibri"/>
        </w:rPr>
        <w:t xml:space="preserve">Do </w:t>
      </w:r>
      <w:r w:rsidR="00452F29" w:rsidRPr="00452F29">
        <w:rPr>
          <w:rFonts w:ascii="Calibri" w:eastAsia="Calibri" w:hAnsi="Calibri"/>
          <w:b/>
          <w:color w:val="2E74B5" w:themeColor="accent1" w:themeShade="BF"/>
          <w:sz w:val="28"/>
        </w:rPr>
        <w:t>843</w:t>
      </w:r>
      <w:r w:rsidR="00452F29">
        <w:rPr>
          <w:rFonts w:ascii="Calibri" w:eastAsia="Calibri" w:hAnsi="Calibri"/>
        </w:rPr>
        <w:t xml:space="preserve"> domów (21% liczby domów jednorodzinnych ogółem) usytuowanych w południowej części miasta – według badań Parku najbardziej narażonej </w:t>
      </w:r>
      <w:r w:rsidR="00777E2B">
        <w:rPr>
          <w:rFonts w:ascii="Calibri" w:eastAsia="Calibri" w:hAnsi="Calibri"/>
        </w:rPr>
        <w:t xml:space="preserve">na smog </w:t>
      </w:r>
      <w:r w:rsidR="00452F29">
        <w:rPr>
          <w:rFonts w:ascii="Calibri" w:eastAsia="Calibri" w:hAnsi="Calibri"/>
        </w:rPr>
        <w:t>d</w:t>
      </w:r>
      <w:r>
        <w:rPr>
          <w:rFonts w:ascii="Calibri" w:eastAsia="Calibri" w:hAnsi="Calibri"/>
        </w:rPr>
        <w:t xml:space="preserve">rukowane materiały informacyjne wraz z listem przewodnim od Czesława </w:t>
      </w:r>
      <w:proofErr w:type="spellStart"/>
      <w:r>
        <w:rPr>
          <w:rFonts w:ascii="Calibri" w:eastAsia="Calibri" w:hAnsi="Calibri"/>
        </w:rPr>
        <w:t>Renkiewicza</w:t>
      </w:r>
      <w:proofErr w:type="spellEnd"/>
      <w:r w:rsidR="00777E2B">
        <w:rPr>
          <w:rFonts w:ascii="Calibri" w:eastAsia="Calibri" w:hAnsi="Calibri"/>
        </w:rPr>
        <w:t>, Prezydenta Suwałk</w:t>
      </w:r>
      <w:r>
        <w:rPr>
          <w:rFonts w:ascii="Calibri" w:eastAsia="Calibri" w:hAnsi="Calibri"/>
        </w:rPr>
        <w:t>.</w:t>
      </w:r>
      <w:r w:rsidRPr="008424BD">
        <w:rPr>
          <w:rFonts w:ascii="Calibri" w:eastAsia="Calibri" w:hAnsi="Calibri"/>
        </w:rPr>
        <w:t xml:space="preserve"> </w:t>
      </w:r>
    </w:p>
    <w:p w:rsidR="00452F29" w:rsidRDefault="00452F29">
      <w:pPr>
        <w:rPr>
          <w:rFonts w:ascii="Calibri" w:eastAsia="Calibri" w:hAnsi="Calibri"/>
        </w:rPr>
      </w:pPr>
    </w:p>
    <w:p w:rsidR="00452F29" w:rsidRDefault="008424BD" w:rsidP="002E44C0">
      <w:pPr>
        <w:jc w:val="both"/>
      </w:pPr>
      <w:r>
        <w:t>Odbyły się 3 spotkania informacyjne (po jednym na kwartał):</w:t>
      </w:r>
    </w:p>
    <w:p w:rsidR="008424BD" w:rsidRDefault="008424BD" w:rsidP="002E44C0">
      <w:pPr>
        <w:pStyle w:val="Akapitzlist"/>
        <w:numPr>
          <w:ilvl w:val="0"/>
          <w:numId w:val="1"/>
        </w:numPr>
        <w:jc w:val="both"/>
      </w:pPr>
      <w:r>
        <w:t xml:space="preserve">W lipcu w Parku Naukowo-Technologicznym, z udziałem Prezydenta </w:t>
      </w:r>
      <w:r w:rsidR="00777E2B">
        <w:t>Suwałk</w:t>
      </w:r>
      <w:r>
        <w:t xml:space="preserve"> (inauguracja Programu Czyste Powietrze)</w:t>
      </w:r>
    </w:p>
    <w:p w:rsidR="008424BD" w:rsidRDefault="008424BD" w:rsidP="002E44C0">
      <w:pPr>
        <w:pStyle w:val="Akapitzlist"/>
        <w:numPr>
          <w:ilvl w:val="0"/>
          <w:numId w:val="1"/>
        </w:numPr>
        <w:jc w:val="both"/>
      </w:pPr>
      <w:r>
        <w:t>W październiku na festynie ekologicznym</w:t>
      </w:r>
    </w:p>
    <w:p w:rsidR="008424BD" w:rsidRDefault="008424BD" w:rsidP="002E44C0">
      <w:pPr>
        <w:pStyle w:val="Akapitzlist"/>
        <w:numPr>
          <w:ilvl w:val="0"/>
          <w:numId w:val="1"/>
        </w:numPr>
        <w:jc w:val="both"/>
      </w:pPr>
      <w:r>
        <w:t>W grudniu w Parku Naukowo-Technologicznym</w:t>
      </w:r>
    </w:p>
    <w:p w:rsidR="008424BD" w:rsidRDefault="00457873" w:rsidP="002E44C0">
      <w:pPr>
        <w:jc w:val="both"/>
      </w:pPr>
      <w:r>
        <w:t>Prowadzono również informacyjną kampanię na Facebooku na stronie Parku wraz z udostępnieniem kluczowych postów na stronie miejskiej FB Pogodne Suwałki.</w:t>
      </w:r>
    </w:p>
    <w:sectPr w:rsidR="008424B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419" w:rsidRDefault="00E82419" w:rsidP="000B7542">
      <w:pPr>
        <w:spacing w:after="0" w:line="240" w:lineRule="auto"/>
      </w:pPr>
      <w:r>
        <w:separator/>
      </w:r>
    </w:p>
  </w:endnote>
  <w:endnote w:type="continuationSeparator" w:id="0">
    <w:p w:rsidR="00E82419" w:rsidRDefault="00E82419" w:rsidP="000B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8030250"/>
      <w:docPartObj>
        <w:docPartGallery w:val="Page Numbers (Bottom of Page)"/>
        <w:docPartUnique/>
      </w:docPartObj>
    </w:sdtPr>
    <w:sdtEndPr/>
    <w:sdtContent>
      <w:p w:rsidR="000B7542" w:rsidRDefault="000B754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E2B">
          <w:rPr>
            <w:noProof/>
          </w:rPr>
          <w:t>2</w:t>
        </w:r>
        <w:r>
          <w:fldChar w:fldCharType="end"/>
        </w:r>
      </w:p>
    </w:sdtContent>
  </w:sdt>
  <w:p w:rsidR="000B7542" w:rsidRDefault="000B754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419" w:rsidRDefault="00E82419" w:rsidP="000B7542">
      <w:pPr>
        <w:spacing w:after="0" w:line="240" w:lineRule="auto"/>
      </w:pPr>
      <w:r>
        <w:separator/>
      </w:r>
    </w:p>
  </w:footnote>
  <w:footnote w:type="continuationSeparator" w:id="0">
    <w:p w:rsidR="00E82419" w:rsidRDefault="00E82419" w:rsidP="000B7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510D2"/>
    <w:multiLevelType w:val="hybridMultilevel"/>
    <w:tmpl w:val="00343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A"/>
    <w:rsid w:val="000B7542"/>
    <w:rsid w:val="00147241"/>
    <w:rsid w:val="00207E28"/>
    <w:rsid w:val="00225FB9"/>
    <w:rsid w:val="002E44C0"/>
    <w:rsid w:val="00452F29"/>
    <w:rsid w:val="00457873"/>
    <w:rsid w:val="00777E2B"/>
    <w:rsid w:val="008424BD"/>
    <w:rsid w:val="00904D56"/>
    <w:rsid w:val="00B45845"/>
    <w:rsid w:val="00D51B4A"/>
    <w:rsid w:val="00E8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268A5-F205-4AE6-8518-0D9797528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1B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D51B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1B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D51B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8424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B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7542"/>
  </w:style>
  <w:style w:type="paragraph" w:styleId="Stopka">
    <w:name w:val="footer"/>
    <w:basedOn w:val="Normalny"/>
    <w:link w:val="StopkaZnak"/>
    <w:uiPriority w:val="99"/>
    <w:unhideWhenUsed/>
    <w:rsid w:val="000B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7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146C5-1585-4959-B4B3-8113F81FF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Pająk</dc:creator>
  <cp:keywords/>
  <dc:description/>
  <cp:lastModifiedBy>Kamil Sznel</cp:lastModifiedBy>
  <cp:revision>2</cp:revision>
  <dcterms:created xsi:type="dcterms:W3CDTF">2022-02-23T14:00:00Z</dcterms:created>
  <dcterms:modified xsi:type="dcterms:W3CDTF">2022-02-23T14:00:00Z</dcterms:modified>
</cp:coreProperties>
</file>